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8F7" w:rsidRDefault="00D078F7" w:rsidP="00AE1690">
      <w:bookmarkStart w:id="0" w:name="_GoBack"/>
      <w:r>
        <w:t xml:space="preserve">Table </w:t>
      </w:r>
      <w:r w:rsidR="00AE1690">
        <w:rPr>
          <w:noProof/>
        </w:rPr>
        <w:fldChar w:fldCharType="begin"/>
      </w:r>
      <w:r w:rsidR="00AE1690">
        <w:rPr>
          <w:noProof/>
        </w:rPr>
        <w:instrText xml:space="preserve"> SEQ Table \* ARABIC </w:instrText>
      </w:r>
      <w:r w:rsidR="00AE1690">
        <w:rPr>
          <w:noProof/>
        </w:rPr>
        <w:fldChar w:fldCharType="separate"/>
      </w:r>
      <w:r w:rsidR="003E6523">
        <w:rPr>
          <w:noProof/>
        </w:rPr>
        <w:t>2</w:t>
      </w:r>
      <w:r w:rsidR="00AE1690">
        <w:rPr>
          <w:noProof/>
        </w:rPr>
        <w:fldChar w:fldCharType="end"/>
      </w:r>
      <w:r>
        <w:t xml:space="preserve"> </w:t>
      </w:r>
      <w:r w:rsidRPr="00D078F7">
        <w:t>Clozapin</w:t>
      </w:r>
      <w:r w:rsidR="00AE1690">
        <w:t>e associated pulmonary embolism selected papers</w:t>
      </w:r>
    </w:p>
    <w:tbl>
      <w:tblPr>
        <w:tblStyle w:val="TableGrid"/>
        <w:tblW w:w="15456" w:type="dxa"/>
        <w:tblInd w:w="-714" w:type="dxa"/>
        <w:tblLook w:val="04A0" w:firstRow="1" w:lastRow="0" w:firstColumn="1" w:lastColumn="0" w:noHBand="0" w:noVBand="1"/>
      </w:tblPr>
      <w:tblGrid>
        <w:gridCol w:w="1456"/>
        <w:gridCol w:w="2928"/>
        <w:gridCol w:w="2305"/>
        <w:gridCol w:w="8767"/>
      </w:tblGrid>
      <w:tr w:rsidR="00D078F7" w:rsidRPr="00D078F7" w:rsidTr="00D078F7">
        <w:trPr>
          <w:trHeight w:val="210"/>
        </w:trPr>
        <w:tc>
          <w:tcPr>
            <w:tcW w:w="1456" w:type="dxa"/>
            <w:hideMark/>
          </w:tcPr>
          <w:bookmarkEnd w:id="0"/>
          <w:p w:rsidR="00D078F7" w:rsidRPr="00D078F7" w:rsidRDefault="00D078F7" w:rsidP="00AE1690">
            <w:pPr>
              <w:pStyle w:val="MDPI71References"/>
            </w:pPr>
            <w:r w:rsidRPr="00D078F7">
              <w:t>Authors</w:t>
            </w:r>
          </w:p>
        </w:tc>
        <w:tc>
          <w:tcPr>
            <w:tcW w:w="2928" w:type="dxa"/>
            <w:hideMark/>
          </w:tcPr>
          <w:p w:rsidR="00D078F7" w:rsidRPr="00D078F7" w:rsidRDefault="00D078F7" w:rsidP="00AE1690">
            <w:pPr>
              <w:pStyle w:val="MDPI71References"/>
            </w:pPr>
            <w:r w:rsidRPr="00D078F7">
              <w:t>Article Title</w:t>
            </w:r>
          </w:p>
        </w:tc>
        <w:tc>
          <w:tcPr>
            <w:tcW w:w="2305" w:type="dxa"/>
            <w:hideMark/>
          </w:tcPr>
          <w:p w:rsidR="00D078F7" w:rsidRPr="00D078F7" w:rsidRDefault="00D078F7" w:rsidP="00AE1690">
            <w:pPr>
              <w:pStyle w:val="MDPI71References"/>
            </w:pPr>
            <w:r w:rsidRPr="00D078F7">
              <w:t>Source Title</w:t>
            </w:r>
          </w:p>
        </w:tc>
        <w:tc>
          <w:tcPr>
            <w:tcW w:w="8767" w:type="dxa"/>
            <w:noWrap/>
            <w:hideMark/>
          </w:tcPr>
          <w:p w:rsidR="00D078F7" w:rsidRPr="00136B1B" w:rsidRDefault="00D078F7" w:rsidP="00AE1690">
            <w:pPr>
              <w:pStyle w:val="MDPI71References"/>
            </w:pPr>
            <w:r w:rsidRPr="00136B1B">
              <w:t>Abstract</w:t>
            </w:r>
          </w:p>
        </w:tc>
      </w:tr>
      <w:tr w:rsidR="00D078F7" w:rsidRPr="00D078F7" w:rsidTr="00136B1B">
        <w:trPr>
          <w:trHeight w:val="1511"/>
        </w:trPr>
        <w:tc>
          <w:tcPr>
            <w:tcW w:w="1456" w:type="dxa"/>
            <w:hideMark/>
          </w:tcPr>
          <w:p w:rsidR="00D078F7" w:rsidRPr="00D078F7" w:rsidRDefault="00D078F7" w:rsidP="00AE1690">
            <w:pPr>
              <w:pStyle w:val="MDPI71References"/>
            </w:pPr>
            <w:r w:rsidRPr="00D078F7">
              <w:t>Poudyal, R; Lohani, S, 2019</w:t>
            </w:r>
          </w:p>
        </w:tc>
        <w:tc>
          <w:tcPr>
            <w:tcW w:w="2928" w:type="dxa"/>
            <w:hideMark/>
          </w:tcPr>
          <w:p w:rsidR="00D078F7" w:rsidRPr="00D078F7" w:rsidRDefault="00D078F7" w:rsidP="00AE1690">
            <w:pPr>
              <w:pStyle w:val="MDPI71References"/>
            </w:pPr>
            <w:r w:rsidRPr="00D078F7">
              <w:t>Clozapine associated pulmonary embolism: systematic review</w:t>
            </w:r>
          </w:p>
        </w:tc>
        <w:tc>
          <w:tcPr>
            <w:tcW w:w="2305" w:type="dxa"/>
            <w:hideMark/>
          </w:tcPr>
          <w:p w:rsidR="00D078F7" w:rsidRPr="00D078F7" w:rsidRDefault="00D078F7" w:rsidP="00AE1690">
            <w:pPr>
              <w:pStyle w:val="MDPI71References"/>
            </w:pPr>
            <w:r w:rsidRPr="00D078F7">
              <w:t>JOURNAL OF COMMUNITY HOSPITAL INTERNAL MEDICINE PERSPECTIVES</w:t>
            </w:r>
          </w:p>
        </w:tc>
        <w:tc>
          <w:tcPr>
            <w:tcW w:w="8767" w:type="dxa"/>
            <w:hideMark/>
          </w:tcPr>
          <w:p w:rsidR="00D078F7" w:rsidRPr="00136B1B" w:rsidRDefault="00D078F7" w:rsidP="00AE1690">
            <w:pPr>
              <w:pStyle w:val="MDPI71References"/>
            </w:pPr>
            <w:r w:rsidRPr="00136B1B">
              <w:t>Background: Clozapine is a second-generation antipsychotic used in refractory schizophrenia. Clozapine can lead to pulmonary embolism (PE) by various mechanisms including immobility, weight gain and increased platelet aggregation. Objectives: We performed a systematic review on published cases of PE associated with clozapine. Methods: Comprehensive search of Medline, Embase and Cochrane library was done for relevant articles from inception until June 2017 Results: Total of 34 cases from 24 articles were included in the analysis. The mean age was 43.2 years with male predominance (63.6%). The mean dosage of clozapine was 281.4 mg daily. Duration of intake ranged from few days to many years. Nearly half of patients (47.82%) had no other co-morbidities for PE other than clozapine. For those reporting treatment, anticoagulation was chosen in 80%, thrombolysis in 10% and inferior vena cava filter placement in 5%. Mortality was 36.36% with three dying on presentation and an additional 9 dying during the follow-up period. Of the 18 patients in which follow-up data of clozapine were available, the drug was discontinued in 14 patients. Conclusion: PE can occur at doses lower than usual dose of clozapine (300 mg daily). It is important to consider this association especially in patients with no other risk factors for PE.</w:t>
            </w:r>
          </w:p>
        </w:tc>
      </w:tr>
      <w:tr w:rsidR="00D078F7" w:rsidRPr="00D078F7" w:rsidTr="00136B1B">
        <w:trPr>
          <w:trHeight w:val="2400"/>
        </w:trPr>
        <w:tc>
          <w:tcPr>
            <w:tcW w:w="1456" w:type="dxa"/>
            <w:hideMark/>
          </w:tcPr>
          <w:p w:rsidR="00D078F7" w:rsidRPr="00D078F7" w:rsidRDefault="00D078F7" w:rsidP="00AE1690">
            <w:pPr>
              <w:pStyle w:val="MDPI71References"/>
            </w:pPr>
            <w:r w:rsidRPr="00D078F7">
              <w:t>Till, A; Silva, E</w:t>
            </w:r>
          </w:p>
        </w:tc>
        <w:tc>
          <w:tcPr>
            <w:tcW w:w="2928" w:type="dxa"/>
            <w:hideMark/>
          </w:tcPr>
          <w:p w:rsidR="00D078F7" w:rsidRPr="00D078F7" w:rsidRDefault="00D078F7" w:rsidP="00AE1690">
            <w:pPr>
              <w:pStyle w:val="MDPI71References"/>
            </w:pPr>
            <w:r w:rsidRPr="00D078F7">
              <w:t>A case report of the successful administration of clozapine in the face of myocardial infarction, pulmonary embolism and hyperlipidaemia resulting in the termination of long-term seclusion</w:t>
            </w:r>
          </w:p>
        </w:tc>
        <w:tc>
          <w:tcPr>
            <w:tcW w:w="2305" w:type="dxa"/>
            <w:hideMark/>
          </w:tcPr>
          <w:p w:rsidR="00D078F7" w:rsidRPr="00D078F7" w:rsidRDefault="00D078F7" w:rsidP="00AE1690">
            <w:pPr>
              <w:pStyle w:val="MDPI71References"/>
            </w:pPr>
            <w:r w:rsidRPr="00D078F7">
              <w:t>BMC PSYCHIATRY</w:t>
            </w:r>
          </w:p>
        </w:tc>
        <w:tc>
          <w:tcPr>
            <w:tcW w:w="8767" w:type="dxa"/>
            <w:hideMark/>
          </w:tcPr>
          <w:p w:rsidR="00D078F7" w:rsidRPr="00136B1B" w:rsidRDefault="00D078F7" w:rsidP="00AE1690">
            <w:pPr>
              <w:pStyle w:val="MDPI71References"/>
            </w:pPr>
            <w:r w:rsidRPr="00136B1B">
              <w:t>BackgroundCardiometabolic health significantly impacts on the mortality of people with severe mental illness. Clozapine has the greatest efficacy for Treatment Resistant Schizophrenia (TRS) but the greatest negative impact on cardiometabolic health. Balancing the risks and benefits of treatment, dignity, autonomy, liberty, mental and physical health can be challenging, particularly when imposing interventions with potentially life threatening adverse events, such as clozapine. We describe the successful administration of clozapine in the face of myocardial infarction, pulmonary embolism and hyperlipidaemia resulting in the termination of long-term seclusion for a gentleman with TRS in high secure psychiatric services.Case presentationThe impact of clozapine on a 44-year-old gentleman with TRS, extreme violence requiring physical restraint and long-term segregation, and numerous other significant physical health complications is described. He had metabolic syndrome; a poor diet, sedentary lifestyle, Body Mass Index (BMI) of 31.5, poorly controlled lipids and had smoked heavily since childhood. During preparations to initiate clozapine, he suffered a myocardial infarction and pulmonary embolism. His compliance with secondary prevention medications was poor due to paranoid persecutory and somatic delusions. Despite these concerns, nasogastric administration of clozapine was approved and prescribed within nine months of his myocardial infarction and a month from his pulmonary embolism but was ultimately not required. Accepting oral medication, his mental state made a rapid and dramatic improvement. After spending 1046days in seclusion, this was terminated 94days after clozapine initiation. He has been compliant with all medications for 24months, had no incidents of violence or seclusion, and has been transferred to medium secure services. His physical health stabilised despite continuing to lead a sedentary lifestyle and remaining obese (BMI of 35). He developed hypertension, Type II Diabetes Mellitus and his triglycerides rose to 22.2mmol/L in the same month after clozapine initiation. However, with pharmacological intervention, 24months later these are controlled, and he has had no further thromboembolic events.ConclusionsWe highlight that despite significant physical health concerns, clozapine can be successfully initiated and safely prescribed with a significantly positive effect on both the psychiatric and holistic care of patients with treatment resistant schizophrenia.</w:t>
            </w:r>
          </w:p>
        </w:tc>
      </w:tr>
      <w:tr w:rsidR="00D078F7" w:rsidRPr="00D078F7" w:rsidTr="00136B1B">
        <w:trPr>
          <w:trHeight w:val="2121"/>
        </w:trPr>
        <w:tc>
          <w:tcPr>
            <w:tcW w:w="1456" w:type="dxa"/>
            <w:hideMark/>
          </w:tcPr>
          <w:p w:rsidR="00D078F7" w:rsidRPr="00D078F7" w:rsidRDefault="00D078F7" w:rsidP="00AE1690">
            <w:pPr>
              <w:pStyle w:val="MDPI71References"/>
            </w:pPr>
            <w:r w:rsidRPr="00D078F7">
              <w:t>Sarvaiya, N; Lapitskaya, Y; Dima, L; Manu, P, 2018</w:t>
            </w:r>
          </w:p>
        </w:tc>
        <w:tc>
          <w:tcPr>
            <w:tcW w:w="2928" w:type="dxa"/>
            <w:hideMark/>
          </w:tcPr>
          <w:p w:rsidR="00D078F7" w:rsidRPr="00D078F7" w:rsidRDefault="00D078F7" w:rsidP="00AE1690">
            <w:pPr>
              <w:pStyle w:val="MDPI71References"/>
            </w:pPr>
            <w:r w:rsidRPr="00D078F7">
              <w:t>Clozapine-Associated Pulmonary Embolism: A High-Mortality, Dose-Independent and Early-Onset Adverse Effect</w:t>
            </w:r>
          </w:p>
        </w:tc>
        <w:tc>
          <w:tcPr>
            <w:tcW w:w="2305" w:type="dxa"/>
            <w:hideMark/>
          </w:tcPr>
          <w:p w:rsidR="00D078F7" w:rsidRPr="00D078F7" w:rsidRDefault="00D078F7" w:rsidP="00AE1690">
            <w:pPr>
              <w:pStyle w:val="MDPI71References"/>
            </w:pPr>
            <w:r w:rsidRPr="00D078F7">
              <w:t>AMERICAN JOURNAL OF THERAPEUTICS</w:t>
            </w:r>
          </w:p>
        </w:tc>
        <w:tc>
          <w:tcPr>
            <w:tcW w:w="8767" w:type="dxa"/>
            <w:hideMark/>
          </w:tcPr>
          <w:p w:rsidR="00D078F7" w:rsidRPr="00136B1B" w:rsidRDefault="00D078F7" w:rsidP="00AE1690">
            <w:pPr>
              <w:pStyle w:val="MDPI71References"/>
            </w:pPr>
            <w:r w:rsidRPr="00136B1B">
              <w:t>Background: Recent epidemiological studies have identified an excess of pulmonary embolism (PE) cases in patients treated with antipsychotic drugs. The findings are particularly relevant for patients treated with clozapine, which has many potentially life-threatening adverse drug effects. Among these adverse drug effects are myocarditis and agranulocytosis that have early onset and are dose independent, but also seizures and myocardial repolarization delay, which are dose dependent and may occur at any time. Together with death rates, these variables have important implications for clinical practice. Areas of Uncertainty: Study Question: What are the time of onset, dose relationship, and mortality of clozapine-associated PE? Data sources: The published case reports of clozapine-associated PE were identified in a MEDLINE search. Cases occurring within 6 months of starting clozapine were considered to have early onset. Dosages of clozapine at the time of PE were defined as low (200 mg/d or less) or high (300 mg/d or greater). Patient outcome was divided into survival of the PE event and death. Results: The search identified 23 cases of clozapine-associated PE. The PE had early onset (6.4 +/- 7.0 weeks) in 20 patients (87%, 95% confidence interval 67.9%-95.5%). PE occurred in 9 patients treated with low doses (152.8 +/- 50.7 mg/d) and in 11 patients on high doses (372.7 +/- 127.2 mg/d) of clozapine. Six patients (26.1%, 95% confidence interval 12.6%-46.5%) died. Conclusions: A systematic review of the published case reports of clozapine-associated PE indicates that this adverse effect is highly lethal, has early onset and is dose independent. The findings should prompt careful monitoring and consideration of prophylactic treatment for venous thromboembolism for 6 months after starting treatment with clozapine.</w:t>
            </w:r>
          </w:p>
        </w:tc>
      </w:tr>
      <w:tr w:rsidR="00D078F7" w:rsidRPr="00D078F7" w:rsidTr="00D078F7">
        <w:trPr>
          <w:trHeight w:val="1260"/>
        </w:trPr>
        <w:tc>
          <w:tcPr>
            <w:tcW w:w="1456" w:type="dxa"/>
            <w:hideMark/>
          </w:tcPr>
          <w:p w:rsidR="00D078F7" w:rsidRPr="00D078F7" w:rsidRDefault="00D078F7" w:rsidP="00AE1690">
            <w:pPr>
              <w:pStyle w:val="MDPI71References"/>
            </w:pPr>
            <w:r w:rsidRPr="00D078F7">
              <w:t>Lohani, S; Tachamo, N; Nazir, S; Donato, A</w:t>
            </w:r>
          </w:p>
        </w:tc>
        <w:tc>
          <w:tcPr>
            <w:tcW w:w="2928" w:type="dxa"/>
            <w:hideMark/>
          </w:tcPr>
          <w:p w:rsidR="00D078F7" w:rsidRPr="00D078F7" w:rsidRDefault="00D078F7" w:rsidP="00AE1690">
            <w:pPr>
              <w:pStyle w:val="MDPI71References"/>
            </w:pPr>
            <w:r w:rsidRPr="00D078F7">
              <w:t>Pulmonary Embolism Associated with Clozapine: Systematic Review of Published Cases</w:t>
            </w:r>
          </w:p>
        </w:tc>
        <w:tc>
          <w:tcPr>
            <w:tcW w:w="2305" w:type="dxa"/>
            <w:hideMark/>
          </w:tcPr>
          <w:p w:rsidR="00D078F7" w:rsidRPr="00D078F7" w:rsidRDefault="00D078F7" w:rsidP="00AE1690">
            <w:pPr>
              <w:pStyle w:val="MDPI71References"/>
            </w:pPr>
            <w:r w:rsidRPr="00D078F7">
              <w:t>AMERICAN JOURNAL OF RESPIRATORY AND CRITICAL CARE MEDICINE</w:t>
            </w:r>
          </w:p>
        </w:tc>
        <w:tc>
          <w:tcPr>
            <w:tcW w:w="8767" w:type="dxa"/>
            <w:hideMark/>
          </w:tcPr>
          <w:p w:rsidR="00D078F7" w:rsidRPr="00136B1B" w:rsidRDefault="00D078F7" w:rsidP="00AE1690">
            <w:pPr>
              <w:pStyle w:val="MDPI71References"/>
            </w:pPr>
          </w:p>
        </w:tc>
      </w:tr>
      <w:tr w:rsidR="00D078F7" w:rsidRPr="00D078F7" w:rsidTr="00AE1690">
        <w:trPr>
          <w:trHeight w:val="420"/>
        </w:trPr>
        <w:tc>
          <w:tcPr>
            <w:tcW w:w="1456" w:type="dxa"/>
            <w:hideMark/>
          </w:tcPr>
          <w:p w:rsidR="00D078F7" w:rsidRPr="00D078F7" w:rsidRDefault="00D078F7" w:rsidP="00AE1690">
            <w:pPr>
              <w:pStyle w:val="MDPI71References"/>
            </w:pPr>
            <w:r w:rsidRPr="00D078F7">
              <w:t>Gami, RK; Mishra, P; Sedlak, T</w:t>
            </w:r>
          </w:p>
        </w:tc>
        <w:tc>
          <w:tcPr>
            <w:tcW w:w="2928" w:type="dxa"/>
            <w:hideMark/>
          </w:tcPr>
          <w:p w:rsidR="00D078F7" w:rsidRPr="00D078F7" w:rsidRDefault="00D078F7" w:rsidP="00AE1690">
            <w:pPr>
              <w:pStyle w:val="MDPI71References"/>
            </w:pPr>
            <w:r w:rsidRPr="00D078F7">
              <w:t>Pulmonary Embolism and Clozapine Use: A Case Report and Literature Review</w:t>
            </w:r>
          </w:p>
        </w:tc>
        <w:tc>
          <w:tcPr>
            <w:tcW w:w="2305" w:type="dxa"/>
            <w:hideMark/>
          </w:tcPr>
          <w:p w:rsidR="00D078F7" w:rsidRPr="00D078F7" w:rsidRDefault="00D078F7" w:rsidP="00AE1690">
            <w:pPr>
              <w:pStyle w:val="MDPI71References"/>
            </w:pPr>
            <w:r w:rsidRPr="00D078F7">
              <w:t>PSYCHOSOMATICS</w:t>
            </w:r>
          </w:p>
        </w:tc>
        <w:tc>
          <w:tcPr>
            <w:tcW w:w="8767" w:type="dxa"/>
            <w:hideMark/>
          </w:tcPr>
          <w:p w:rsidR="00D078F7" w:rsidRPr="00136B1B" w:rsidRDefault="00D078F7" w:rsidP="00AE1690">
            <w:pPr>
              <w:pStyle w:val="MDPI71References"/>
            </w:pPr>
          </w:p>
        </w:tc>
      </w:tr>
      <w:tr w:rsidR="00D078F7" w:rsidRPr="00D078F7" w:rsidTr="00AE1690">
        <w:trPr>
          <w:trHeight w:val="699"/>
        </w:trPr>
        <w:tc>
          <w:tcPr>
            <w:tcW w:w="1456" w:type="dxa"/>
            <w:hideMark/>
          </w:tcPr>
          <w:p w:rsidR="00D078F7" w:rsidRPr="00D078F7" w:rsidRDefault="00D078F7" w:rsidP="00AE1690">
            <w:pPr>
              <w:pStyle w:val="MDPI71References"/>
            </w:pPr>
            <w:r w:rsidRPr="00D078F7">
              <w:lastRenderedPageBreak/>
              <w:t>Goh, JGS; John, AP, 2016</w:t>
            </w:r>
          </w:p>
        </w:tc>
        <w:tc>
          <w:tcPr>
            <w:tcW w:w="2928" w:type="dxa"/>
            <w:hideMark/>
          </w:tcPr>
          <w:p w:rsidR="00D078F7" w:rsidRPr="00D078F7" w:rsidRDefault="00D078F7" w:rsidP="00AE1690">
            <w:pPr>
              <w:pStyle w:val="MDPI71References"/>
            </w:pPr>
            <w:r w:rsidRPr="00D078F7">
              <w:t>A case report of clozapine continuation after pulmonary embolism in the context of other risk factors for thromboembolism</w:t>
            </w:r>
          </w:p>
        </w:tc>
        <w:tc>
          <w:tcPr>
            <w:tcW w:w="2305" w:type="dxa"/>
            <w:hideMark/>
          </w:tcPr>
          <w:p w:rsidR="00D078F7" w:rsidRPr="00D078F7" w:rsidRDefault="00D078F7" w:rsidP="00AE1690">
            <w:pPr>
              <w:pStyle w:val="MDPI71References"/>
            </w:pPr>
            <w:r w:rsidRPr="00D078F7">
              <w:t>AUSTRALIAN AND NEW ZEALAND JOURNAL OF PSYCHIATRY</w:t>
            </w:r>
          </w:p>
        </w:tc>
        <w:tc>
          <w:tcPr>
            <w:tcW w:w="8767" w:type="dxa"/>
            <w:hideMark/>
          </w:tcPr>
          <w:p w:rsidR="00D078F7" w:rsidRPr="00136B1B" w:rsidRDefault="00D078F7" w:rsidP="00AE1690">
            <w:pPr>
              <w:pStyle w:val="MDPI71References"/>
            </w:pPr>
          </w:p>
        </w:tc>
      </w:tr>
      <w:tr w:rsidR="00D078F7" w:rsidRPr="00D078F7" w:rsidTr="00AE1690">
        <w:trPr>
          <w:trHeight w:val="642"/>
        </w:trPr>
        <w:tc>
          <w:tcPr>
            <w:tcW w:w="1456" w:type="dxa"/>
            <w:hideMark/>
          </w:tcPr>
          <w:p w:rsidR="00D078F7" w:rsidRPr="00D078F7" w:rsidRDefault="00D078F7" w:rsidP="00AE1690">
            <w:pPr>
              <w:pStyle w:val="MDPI71References"/>
            </w:pPr>
            <w:r w:rsidRPr="00D078F7">
              <w:t>Schmidinger, S; Hofer, A, 2014</w:t>
            </w:r>
          </w:p>
        </w:tc>
        <w:tc>
          <w:tcPr>
            <w:tcW w:w="2928" w:type="dxa"/>
            <w:hideMark/>
          </w:tcPr>
          <w:p w:rsidR="00D078F7" w:rsidRPr="00D078F7" w:rsidRDefault="00D078F7" w:rsidP="00AE1690">
            <w:pPr>
              <w:pStyle w:val="MDPI71References"/>
            </w:pPr>
            <w:r w:rsidRPr="00D078F7">
              <w:t>Pulmonary Embolism and Aspiration Pneumonia After Reexposure to Clozapine Pulmonary Adverse Effects of Clozapine</w:t>
            </w:r>
          </w:p>
        </w:tc>
        <w:tc>
          <w:tcPr>
            <w:tcW w:w="2305" w:type="dxa"/>
            <w:hideMark/>
          </w:tcPr>
          <w:p w:rsidR="00D078F7" w:rsidRPr="00D078F7" w:rsidRDefault="00D078F7" w:rsidP="00AE1690">
            <w:pPr>
              <w:pStyle w:val="MDPI71References"/>
            </w:pPr>
            <w:r w:rsidRPr="00D078F7">
              <w:t>JOURNAL OF CLINICAL PSYCHOPHARMACOLOGY</w:t>
            </w:r>
          </w:p>
        </w:tc>
        <w:tc>
          <w:tcPr>
            <w:tcW w:w="8767" w:type="dxa"/>
            <w:hideMark/>
          </w:tcPr>
          <w:p w:rsidR="00D078F7" w:rsidRPr="00136B1B" w:rsidRDefault="00D078F7" w:rsidP="00AE1690">
            <w:pPr>
              <w:pStyle w:val="MDPI71References"/>
            </w:pPr>
          </w:p>
        </w:tc>
      </w:tr>
    </w:tbl>
    <w:p w:rsidR="00A5569D" w:rsidRDefault="00AE1690" w:rsidP="00AE1690">
      <w:pPr>
        <w:pStyle w:val="Caption"/>
      </w:pPr>
    </w:p>
    <w:sectPr w:rsidR="00A5569D" w:rsidSect="00985D66">
      <w:pgSz w:w="16838" w:h="11906" w:orient="landscape"/>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0624C"/>
    <w:multiLevelType w:val="hybridMultilevel"/>
    <w:tmpl w:val="8F6C943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420" w:hanging="4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7U0N7ewMDQ0sjRS0lEKTi0uzszPAykwqQUAcWXv7iwAAAA="/>
  </w:docVars>
  <w:rsids>
    <w:rsidRoot w:val="00985D66"/>
    <w:rsid w:val="000147FA"/>
    <w:rsid w:val="00136B1B"/>
    <w:rsid w:val="003E6523"/>
    <w:rsid w:val="00650960"/>
    <w:rsid w:val="00683CC8"/>
    <w:rsid w:val="0079425B"/>
    <w:rsid w:val="007B0602"/>
    <w:rsid w:val="00810455"/>
    <w:rsid w:val="0083461F"/>
    <w:rsid w:val="008E5DBE"/>
    <w:rsid w:val="00985D66"/>
    <w:rsid w:val="00AC2380"/>
    <w:rsid w:val="00AE1690"/>
    <w:rsid w:val="00C82FD7"/>
    <w:rsid w:val="00D078F7"/>
    <w:rsid w:val="00DF61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0751F-D17D-48E1-BBBE-612A916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690"/>
    <w:pPr>
      <w:adjustRightInd w:val="0"/>
      <w:snapToGrid w:val="0"/>
      <w:spacing w:after="0" w:line="240" w:lineRule="auto"/>
      <w:jc w:val="both"/>
    </w:pPr>
    <w:rPr>
      <w:rFonts w:ascii="Palatino Linotype" w:eastAsia="SimSun" w:hAnsi="Palatino Linotype" w:cs="Times New Roman"/>
      <w:snapToGrid w:val="0"/>
      <w:color w:val="000000"/>
      <w:sz w:val="20"/>
      <w:szCs w:val="20"/>
      <w:lang w:val="en-US" w:eastAsia="de-D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D6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71References">
    <w:name w:val="MDPI_7.1_References"/>
    <w:basedOn w:val="Normal"/>
    <w:qFormat/>
    <w:rsid w:val="00AC2380"/>
    <w:rPr>
      <w:snapToGrid/>
      <w:sz w:val="14"/>
    </w:rPr>
  </w:style>
  <w:style w:type="paragraph" w:styleId="Caption">
    <w:name w:val="caption"/>
    <w:basedOn w:val="Normal"/>
    <w:next w:val="Normal"/>
    <w:uiPriority w:val="35"/>
    <w:unhideWhenUsed/>
    <w:qFormat/>
    <w:rsid w:val="00D078F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0316">
      <w:bodyDiv w:val="1"/>
      <w:marLeft w:val="0"/>
      <w:marRight w:val="0"/>
      <w:marTop w:val="0"/>
      <w:marBottom w:val="0"/>
      <w:divBdr>
        <w:top w:val="none" w:sz="0" w:space="0" w:color="auto"/>
        <w:left w:val="none" w:sz="0" w:space="0" w:color="auto"/>
        <w:bottom w:val="none" w:sz="0" w:space="0" w:color="auto"/>
        <w:right w:val="none" w:sz="0" w:space="0" w:color="auto"/>
      </w:divBdr>
    </w:div>
    <w:div w:id="646402240">
      <w:bodyDiv w:val="1"/>
      <w:marLeft w:val="0"/>
      <w:marRight w:val="0"/>
      <w:marTop w:val="0"/>
      <w:marBottom w:val="0"/>
      <w:divBdr>
        <w:top w:val="none" w:sz="0" w:space="0" w:color="auto"/>
        <w:left w:val="none" w:sz="0" w:space="0" w:color="auto"/>
        <w:bottom w:val="none" w:sz="0" w:space="0" w:color="auto"/>
        <w:right w:val="none" w:sz="0" w:space="0" w:color="auto"/>
      </w:divBdr>
    </w:div>
    <w:div w:id="719017653">
      <w:bodyDiv w:val="1"/>
      <w:marLeft w:val="0"/>
      <w:marRight w:val="0"/>
      <w:marTop w:val="0"/>
      <w:marBottom w:val="0"/>
      <w:divBdr>
        <w:top w:val="none" w:sz="0" w:space="0" w:color="auto"/>
        <w:left w:val="none" w:sz="0" w:space="0" w:color="auto"/>
        <w:bottom w:val="none" w:sz="0" w:space="0" w:color="auto"/>
        <w:right w:val="none" w:sz="0" w:space="0" w:color="auto"/>
      </w:divBdr>
    </w:div>
    <w:div w:id="833836020">
      <w:bodyDiv w:val="1"/>
      <w:marLeft w:val="0"/>
      <w:marRight w:val="0"/>
      <w:marTop w:val="0"/>
      <w:marBottom w:val="0"/>
      <w:divBdr>
        <w:top w:val="none" w:sz="0" w:space="0" w:color="auto"/>
        <w:left w:val="none" w:sz="0" w:space="0" w:color="auto"/>
        <w:bottom w:val="none" w:sz="0" w:space="0" w:color="auto"/>
        <w:right w:val="none" w:sz="0" w:space="0" w:color="auto"/>
      </w:divBdr>
    </w:div>
    <w:div w:id="1061709337">
      <w:bodyDiv w:val="1"/>
      <w:marLeft w:val="0"/>
      <w:marRight w:val="0"/>
      <w:marTop w:val="0"/>
      <w:marBottom w:val="0"/>
      <w:divBdr>
        <w:top w:val="none" w:sz="0" w:space="0" w:color="auto"/>
        <w:left w:val="none" w:sz="0" w:space="0" w:color="auto"/>
        <w:bottom w:val="none" w:sz="0" w:space="0" w:color="auto"/>
        <w:right w:val="none" w:sz="0" w:space="0" w:color="auto"/>
      </w:divBdr>
    </w:div>
    <w:div w:id="1403482251">
      <w:bodyDiv w:val="1"/>
      <w:marLeft w:val="0"/>
      <w:marRight w:val="0"/>
      <w:marTop w:val="0"/>
      <w:marBottom w:val="0"/>
      <w:divBdr>
        <w:top w:val="none" w:sz="0" w:space="0" w:color="auto"/>
        <w:left w:val="none" w:sz="0" w:space="0" w:color="auto"/>
        <w:bottom w:val="none" w:sz="0" w:space="0" w:color="auto"/>
        <w:right w:val="none" w:sz="0" w:space="0" w:color="auto"/>
      </w:divBdr>
    </w:div>
    <w:div w:id="1476798638">
      <w:bodyDiv w:val="1"/>
      <w:marLeft w:val="0"/>
      <w:marRight w:val="0"/>
      <w:marTop w:val="0"/>
      <w:marBottom w:val="0"/>
      <w:divBdr>
        <w:top w:val="none" w:sz="0" w:space="0" w:color="auto"/>
        <w:left w:val="none" w:sz="0" w:space="0" w:color="auto"/>
        <w:bottom w:val="none" w:sz="0" w:space="0" w:color="auto"/>
        <w:right w:val="none" w:sz="0" w:space="0" w:color="auto"/>
      </w:divBdr>
    </w:div>
    <w:div w:id="1578519087">
      <w:bodyDiv w:val="1"/>
      <w:marLeft w:val="0"/>
      <w:marRight w:val="0"/>
      <w:marTop w:val="0"/>
      <w:marBottom w:val="0"/>
      <w:divBdr>
        <w:top w:val="none" w:sz="0" w:space="0" w:color="auto"/>
        <w:left w:val="none" w:sz="0" w:space="0" w:color="auto"/>
        <w:bottom w:val="none" w:sz="0" w:space="0" w:color="auto"/>
        <w:right w:val="none" w:sz="0" w:space="0" w:color="auto"/>
      </w:divBdr>
    </w:div>
    <w:div w:id="1826631211">
      <w:bodyDiv w:val="1"/>
      <w:marLeft w:val="0"/>
      <w:marRight w:val="0"/>
      <w:marTop w:val="0"/>
      <w:marBottom w:val="0"/>
      <w:divBdr>
        <w:top w:val="none" w:sz="0" w:space="0" w:color="auto"/>
        <w:left w:val="none" w:sz="0" w:space="0" w:color="auto"/>
        <w:bottom w:val="none" w:sz="0" w:space="0" w:color="auto"/>
        <w:right w:val="none" w:sz="0" w:space="0" w:color="auto"/>
      </w:divBdr>
    </w:div>
    <w:div w:id="18724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1041</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Pop</dc:creator>
  <cp:keywords/>
  <dc:description/>
  <cp:lastModifiedBy>Anca Pop</cp:lastModifiedBy>
  <cp:revision>2</cp:revision>
  <dcterms:created xsi:type="dcterms:W3CDTF">2020-09-28T20:27:00Z</dcterms:created>
  <dcterms:modified xsi:type="dcterms:W3CDTF">2020-09-28T20:27:00Z</dcterms:modified>
</cp:coreProperties>
</file>